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99" w:rsidRDefault="00222599">
      <w:pPr>
        <w:pStyle w:val="ConsPlusNormal"/>
        <w:jc w:val="both"/>
        <w:outlineLvl w:val="0"/>
      </w:pPr>
      <w:bookmarkStart w:id="0" w:name="_GoBack"/>
      <w:bookmarkEnd w:id="0"/>
    </w:p>
    <w:p w:rsidR="00222599" w:rsidRDefault="00222599">
      <w:pPr>
        <w:pStyle w:val="ConsPlusNormal"/>
        <w:outlineLvl w:val="0"/>
      </w:pPr>
      <w:r>
        <w:t>Зарегистрировано в Минюсте России 28 августа 2020 г. N 59558</w:t>
      </w:r>
    </w:p>
    <w:p w:rsidR="00222599" w:rsidRDefault="00222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</w:pPr>
      <w:r>
        <w:t>МИНИСТЕРСТВО ТРАНСПОРТА РОССИЙСКОЙ ФЕДЕРАЦИИ</w:t>
      </w:r>
    </w:p>
    <w:p w:rsidR="00222599" w:rsidRDefault="00222599">
      <w:pPr>
        <w:pStyle w:val="ConsPlusTitle"/>
        <w:jc w:val="center"/>
      </w:pPr>
    </w:p>
    <w:p w:rsidR="00222599" w:rsidRDefault="00222599">
      <w:pPr>
        <w:pStyle w:val="ConsPlusTitle"/>
        <w:jc w:val="center"/>
      </w:pPr>
      <w:r>
        <w:t>ПРИКАЗ</w:t>
      </w:r>
    </w:p>
    <w:p w:rsidR="00222599" w:rsidRDefault="00222599">
      <w:pPr>
        <w:pStyle w:val="ConsPlusTitle"/>
        <w:jc w:val="center"/>
      </w:pPr>
      <w:r>
        <w:t>от 9 июля 2020 г. N 232</w:t>
      </w:r>
    </w:p>
    <w:p w:rsidR="00222599" w:rsidRDefault="00222599">
      <w:pPr>
        <w:pStyle w:val="ConsPlusTitle"/>
        <w:jc w:val="center"/>
      </w:pPr>
    </w:p>
    <w:p w:rsidR="00222599" w:rsidRDefault="00222599">
      <w:pPr>
        <w:pStyle w:val="ConsPlusTitle"/>
        <w:jc w:val="center"/>
      </w:pPr>
      <w:r>
        <w:t>ОБ УТВЕРЖДЕНИИ ТРЕБОВАНИЙ</w:t>
      </w:r>
    </w:p>
    <w:p w:rsidR="00222599" w:rsidRDefault="00222599">
      <w:pPr>
        <w:pStyle w:val="ConsPlusTitle"/>
        <w:jc w:val="center"/>
      </w:pPr>
      <w:r>
        <w:t>К ПРОИЗВОДСТВЕННО-ТЕХНИЧЕСКОЙ БАЗЕ ОПЕРАТОРА ТЕХНИЧЕСКОГО</w:t>
      </w:r>
    </w:p>
    <w:p w:rsidR="00222599" w:rsidRDefault="00222599">
      <w:pPr>
        <w:pStyle w:val="ConsPlusTitle"/>
        <w:jc w:val="center"/>
      </w:pPr>
      <w:r>
        <w:t>ОСМОТРА И ПЕРЕЧНЯ ДОКУМЕНТОВ В ОБЛАСТИ СТАНДАРТИЗАЦИИ,</w:t>
      </w:r>
    </w:p>
    <w:p w:rsidR="00222599" w:rsidRDefault="00222599">
      <w:pPr>
        <w:pStyle w:val="ConsPlusTitle"/>
        <w:jc w:val="center"/>
      </w:pPr>
      <w:r>
        <w:t>СОБЛЮДЕНИЕ ТРЕБОВАНИЙ КОТОРЫХ ЛИЦАМИ, ПРЕТЕНДУЮЩИМИ</w:t>
      </w:r>
    </w:p>
    <w:p w:rsidR="00222599" w:rsidRDefault="00222599">
      <w:pPr>
        <w:pStyle w:val="ConsPlusTitle"/>
        <w:jc w:val="center"/>
      </w:pPr>
      <w:r>
        <w:t>НА ПОЛУЧЕНИЕ АТТЕСТАТА АККРЕДИТАЦИИ ОПЕРАТОРА ТЕХНИЧЕСКОГО</w:t>
      </w:r>
    </w:p>
    <w:p w:rsidR="00222599" w:rsidRDefault="00222599">
      <w:pPr>
        <w:pStyle w:val="ConsPlusTitle"/>
        <w:jc w:val="center"/>
      </w:pPr>
      <w:r>
        <w:t>ОСМОТРА, И ОПЕРАТОРАМИ ТЕХНИЧЕСКОГО ОСМОТРА ОБЕСПЕЧИВАЕТ</w:t>
      </w:r>
    </w:p>
    <w:p w:rsidR="00222599" w:rsidRDefault="00222599">
      <w:pPr>
        <w:pStyle w:val="ConsPlusTitle"/>
        <w:jc w:val="center"/>
      </w:pPr>
      <w:r>
        <w:t>ИХ СООТВЕТСТВИЕ ТРЕБОВАНИЯМ АККРЕДИТАЦИИ</w:t>
      </w:r>
    </w:p>
    <w:p w:rsidR="00222599" w:rsidRDefault="002225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5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30.04.2021 </w:t>
            </w:r>
            <w:hyperlink r:id="rId4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05.05.2022 </w:t>
            </w:r>
            <w:hyperlink r:id="rId5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 статьи 8</w:t>
        </w:r>
      </w:hyperlink>
      <w:r>
        <w:t xml:space="preserve">, </w:t>
      </w:r>
      <w:hyperlink r:id="rId7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2019, N 23, ст. 2905), </w:t>
      </w:r>
      <w:hyperlink r:id="rId8" w:history="1">
        <w:r>
          <w:rPr>
            <w:color w:val="0000FF"/>
          </w:rPr>
          <w:t>пунктом 1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подпунктом 5.2.53(50)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10; 2020, N 8, ст. 1031), приказываю: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1. Утвердить:</w:t>
      </w:r>
    </w:p>
    <w:p w:rsidR="00222599" w:rsidRDefault="00D61E02">
      <w:pPr>
        <w:pStyle w:val="ConsPlusNormal"/>
        <w:spacing w:before="220"/>
        <w:ind w:firstLine="540"/>
        <w:jc w:val="both"/>
      </w:pPr>
      <w:hyperlink w:anchor="P37" w:history="1">
        <w:r w:rsidR="00222599">
          <w:rPr>
            <w:color w:val="0000FF"/>
          </w:rPr>
          <w:t>Требования</w:t>
        </w:r>
      </w:hyperlink>
      <w:r w:rsidR="00222599">
        <w:t xml:space="preserve"> к производственно-технической базе оператора технического осмотра согласно приложению N 1 к настоящему приказу;</w:t>
      </w:r>
    </w:p>
    <w:p w:rsidR="00222599" w:rsidRDefault="00D61E02">
      <w:pPr>
        <w:pStyle w:val="ConsPlusNormal"/>
        <w:spacing w:before="220"/>
        <w:ind w:firstLine="540"/>
        <w:jc w:val="both"/>
      </w:pPr>
      <w:hyperlink w:anchor="P859" w:history="1">
        <w:r w:rsidR="00222599">
          <w:rPr>
            <w:color w:val="0000FF"/>
          </w:rPr>
          <w:t>перечень</w:t>
        </w:r>
      </w:hyperlink>
      <w:r w:rsidR="00222599">
        <w:t xml:space="preserve"> документов в области стандартизации, соблюдение требований которых лицами, претендующими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аккредитации согласно приложению N 2 к настоящему приказу.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2021 г. и действует до 1 марта 2027 г.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</w:pPr>
      <w:r>
        <w:t>Министр</w:t>
      </w:r>
    </w:p>
    <w:p w:rsidR="00222599" w:rsidRDefault="00222599">
      <w:pPr>
        <w:pStyle w:val="ConsPlusNormal"/>
        <w:jc w:val="right"/>
      </w:pPr>
      <w:r>
        <w:t>Е.И.ДИТРИХ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  <w:outlineLvl w:val="0"/>
      </w:pPr>
      <w:r>
        <w:t>Приложение N 1</w:t>
      </w:r>
    </w:p>
    <w:p w:rsidR="00222599" w:rsidRDefault="00222599">
      <w:pPr>
        <w:pStyle w:val="ConsPlusNormal"/>
        <w:jc w:val="right"/>
      </w:pPr>
      <w:r>
        <w:t>к приказу Минтранса России</w:t>
      </w:r>
    </w:p>
    <w:p w:rsidR="00222599" w:rsidRDefault="00222599">
      <w:pPr>
        <w:pStyle w:val="ConsPlusNormal"/>
        <w:jc w:val="right"/>
      </w:pPr>
      <w:r>
        <w:t>от 9 июля 2020 г. N 232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</w:pPr>
      <w:bookmarkStart w:id="1" w:name="P37"/>
      <w:bookmarkEnd w:id="1"/>
      <w:r>
        <w:t>ТРЕБОВАНИЯ</w:t>
      </w:r>
    </w:p>
    <w:p w:rsidR="00222599" w:rsidRDefault="00222599">
      <w:pPr>
        <w:pStyle w:val="ConsPlusTitle"/>
        <w:jc w:val="center"/>
      </w:pPr>
      <w:r>
        <w:t>К ПРОИЗВОДСТВЕННО-ТЕХНИЧЕСКОЙ БАЗЕ ОПЕРАТОРА</w:t>
      </w:r>
    </w:p>
    <w:p w:rsidR="00222599" w:rsidRDefault="00222599">
      <w:pPr>
        <w:pStyle w:val="ConsPlusTitle"/>
        <w:jc w:val="center"/>
      </w:pPr>
      <w:r>
        <w:lastRenderedPageBreak/>
        <w:t>ТЕХНИЧЕСКОГО ОСМОТРА</w:t>
      </w:r>
    </w:p>
    <w:p w:rsidR="00222599" w:rsidRDefault="002225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5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30.04.2021 </w:t>
            </w:r>
            <w:hyperlink r:id="rId11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05.05.2022 </w:t>
            </w:r>
            <w:hyperlink r:id="rId12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  <w:outlineLvl w:val="1"/>
      </w:pPr>
      <w:r>
        <w:t>I. Общие положения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>1. Требования к производственно-технической базе оператора технического осмотра включают требования к совокупности принадлежащих оператору технического осмотра на праве собственности или на ином законном основании и предназначенных для проведения технического осмотра зданий, помещений или сооружений и диагностических линий (далее - Требования).</w:t>
      </w:r>
    </w:p>
    <w:p w:rsidR="00222599" w:rsidRDefault="00222599">
      <w:pPr>
        <w:pStyle w:val="ConsPlusNormal"/>
        <w:jc w:val="both"/>
      </w:pPr>
      <w:r>
        <w:t xml:space="preserve">(в ред. Приказов Минтранса России от 30.04.2021 </w:t>
      </w:r>
      <w:hyperlink r:id="rId13" w:history="1">
        <w:r>
          <w:rPr>
            <w:color w:val="0000FF"/>
          </w:rPr>
          <w:t>N 146</w:t>
        </w:r>
      </w:hyperlink>
      <w:r>
        <w:t xml:space="preserve">, от 05.05.2022 </w:t>
      </w:r>
      <w:hyperlink r:id="rId14" w:history="1">
        <w:r>
          <w:rPr>
            <w:color w:val="0000FF"/>
          </w:rPr>
          <w:t>N 166</w:t>
        </w:r>
      </w:hyperlink>
      <w:r>
        <w:t>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Минтранса России от 05.05.2022 N 166.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2. Требования обязательны для соблюдения операторами технического осмотра, а также лицами, претендующими на получение аттестата аккредитации оператора технического осмотра в соответствии со </w:t>
      </w:r>
      <w:hyperlink r:id="rId16" w:history="1">
        <w:r>
          <w:rPr>
            <w:color w:val="0000FF"/>
          </w:rPr>
          <w:t>статьей 11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(далее - Федеральный закон N 170-ФЗ).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  <w:outlineLvl w:val="1"/>
      </w:pPr>
      <w:r>
        <w:t>II. Требования к зданиям, помещениям и сооружениям пункта</w:t>
      </w:r>
    </w:p>
    <w:p w:rsidR="00222599" w:rsidRDefault="00222599">
      <w:pPr>
        <w:pStyle w:val="ConsPlusTitle"/>
        <w:jc w:val="center"/>
      </w:pPr>
      <w:r>
        <w:t>технического осмотра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3. Здания или сооружения, используемые для пункта технического осмотра, должны включать в себя производственные помещения, в которых размещаются диагностические линии технического осмотра различных категорий транспортных средств и (или) видов городского наземного электрического транспорта, которые определяются в соответствии с техническим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колесных транспортных средств" (ТР ТС 018/2011), утвержденным Решением Комиссии Таможенного союза от 9 декабря 2011 г. N 877 &lt;2&gt;, сети инженерно-технического обеспечения, а также системы инженерно-технического обеспечения, обеспечивающие соблюдение температурного режима работы средств технического диагностирования, освещение помещений, электроснабжение оборудования, а также доступ к информационно-телекоммуникационной сети "Интернет".</w:t>
      </w:r>
    </w:p>
    <w:p w:rsidR="00222599" w:rsidRDefault="00222599">
      <w:pPr>
        <w:pStyle w:val="ConsPlusNormal"/>
        <w:jc w:val="both"/>
      </w:pPr>
      <w:r>
        <w:t xml:space="preserve">(в ред. Приказов Минтранса России от 30.04.2021 </w:t>
      </w:r>
      <w:hyperlink r:id="rId18" w:history="1">
        <w:r>
          <w:rPr>
            <w:color w:val="0000FF"/>
          </w:rPr>
          <w:t>N 146</w:t>
        </w:r>
      </w:hyperlink>
      <w:r>
        <w:t xml:space="preserve">, от 05.05.2022 </w:t>
      </w:r>
      <w:hyperlink r:id="rId19" w:history="1">
        <w:r>
          <w:rPr>
            <w:color w:val="0000FF"/>
          </w:rPr>
          <w:t>N 166</w:t>
        </w:r>
      </w:hyperlink>
      <w:r>
        <w:t>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&lt;2&gt; Официальный сайт Комиссии Таможенного союза http://www.tsouz.ru/, 15 декабря 2011 г.; является обязательным для Российской Федерации в соответствии с </w:t>
      </w:r>
      <w:hyperlink r:id="rId20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222599" w:rsidRDefault="00222599">
      <w:pPr>
        <w:pStyle w:val="ConsPlusNormal"/>
        <w:jc w:val="both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4. Производственные помещения или сооружения, в которых размещаются диагностические линии технического осмотра транспортных средств различных категорий и (или) видов городского наземного электрического транспорта должны соответствовать минимальным размерам, приведенным в </w:t>
      </w:r>
      <w:hyperlink w:anchor="P70" w:history="1">
        <w:r>
          <w:rPr>
            <w:color w:val="0000FF"/>
          </w:rPr>
          <w:t>таблице N 1</w:t>
        </w:r>
      </w:hyperlink>
      <w:r>
        <w:t>, при этом: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замер ширины и длины производственных помещений или сооружений осуществляется </w:t>
      </w:r>
      <w:r>
        <w:lastRenderedPageBreak/>
        <w:t>между стенами помещения или сооружения;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высота помещений или сооружений измеряется от пола помещения или сооружения до нижней точки несущих потолочных конструкций или потолка в помещениях или сооружениях, где располагаются диагностические линии. Высота производственных помещений или сооружений, оборудованных эстакадой, должна измеряться от поверхности качения колес транспортных средств;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при использовании тупиковых постов для технического диагностирования транспортных средств категорий O</w:t>
      </w:r>
      <w:r>
        <w:rPr>
          <w:vertAlign w:val="subscript"/>
        </w:rPr>
        <w:t>2</w:t>
      </w:r>
      <w:r>
        <w:t xml:space="preserve"> &lt;3&gt; и O</w:t>
      </w:r>
      <w:r>
        <w:rPr>
          <w:vertAlign w:val="subscript"/>
        </w:rPr>
        <w:t>3</w:t>
      </w:r>
      <w:r>
        <w:t xml:space="preserve"> &lt;3&gt; минимальная длина производственных помещений или сооружений должна быть 23,5 м и 25,5 м для транспортных средств категорий O</w:t>
      </w:r>
      <w:r>
        <w:rPr>
          <w:vertAlign w:val="subscript"/>
        </w:rPr>
        <w:t>4</w:t>
      </w:r>
      <w:r>
        <w:t xml:space="preserve"> &lt;3&gt;.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&lt;3&gt; Категории транспортных средств соответствуют классификации, установленной в </w:t>
      </w:r>
      <w:hyperlink r:id="rId25" w:history="1">
        <w:r>
          <w:rPr>
            <w:color w:val="0000FF"/>
          </w:rPr>
          <w:t>подпункте 1.1</w:t>
        </w:r>
      </w:hyperlink>
      <w:r>
        <w:t xml:space="preserve"> приложения N 1 к техническому регламенту Таможенного союза "О безопасности колесных транспортных средств" ТР ТС 018/2011, утвержденному решением Комиссии Таможенного союза от 9 декабря 2011 г. N 877.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</w:pPr>
      <w:bookmarkStart w:id="4" w:name="P70"/>
      <w:bookmarkEnd w:id="4"/>
      <w:r>
        <w:t>Таблица N 1</w:t>
      </w:r>
    </w:p>
    <w:p w:rsidR="00222599" w:rsidRDefault="00222599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9"/>
        <w:gridCol w:w="1644"/>
        <w:gridCol w:w="1587"/>
        <w:gridCol w:w="2035"/>
        <w:gridCol w:w="2041"/>
      </w:tblGrid>
      <w:tr w:rsidR="00222599">
        <w:tc>
          <w:tcPr>
            <w:tcW w:w="1709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 xml:space="preserve">Категория транспортных средств </w:t>
            </w:r>
            <w:hyperlink w:anchor="P5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307" w:type="dxa"/>
            <w:gridSpan w:val="4"/>
          </w:tcPr>
          <w:p w:rsidR="00222599" w:rsidRDefault="00222599">
            <w:pPr>
              <w:pStyle w:val="ConsPlusNormal"/>
              <w:jc w:val="center"/>
            </w:pPr>
            <w:r>
              <w:t>Минимальные размеры производственных помещений или сооружений для размещения диагностических линий, м</w:t>
            </w:r>
          </w:p>
        </w:tc>
      </w:tr>
      <w:tr w:rsidR="00222599">
        <w:tc>
          <w:tcPr>
            <w:tcW w:w="1709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64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1587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4076" w:type="dxa"/>
            <w:gridSpan w:val="2"/>
          </w:tcPr>
          <w:p w:rsidR="00222599" w:rsidRDefault="00222599">
            <w:pPr>
              <w:pStyle w:val="ConsPlusNormal"/>
              <w:jc w:val="center"/>
            </w:pPr>
            <w:r>
              <w:t>Высота</w:t>
            </w:r>
          </w:p>
        </w:tc>
      </w:tr>
      <w:tr w:rsidR="00222599">
        <w:tc>
          <w:tcPr>
            <w:tcW w:w="1709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35" w:type="dxa"/>
          </w:tcPr>
          <w:p w:rsidR="00222599" w:rsidRDefault="00222599">
            <w:pPr>
              <w:pStyle w:val="ConsPlusNormal"/>
              <w:jc w:val="center"/>
            </w:pPr>
            <w:r>
              <w:t>при использовании осмотровой канавы или эстакады</w:t>
            </w:r>
          </w:p>
        </w:tc>
        <w:tc>
          <w:tcPr>
            <w:tcW w:w="2041" w:type="dxa"/>
          </w:tcPr>
          <w:p w:rsidR="00222599" w:rsidRDefault="00222599">
            <w:pPr>
              <w:pStyle w:val="ConsPlusNormal"/>
              <w:jc w:val="center"/>
            </w:pPr>
            <w:r>
              <w:t>при использовании подъемника в месте его размещения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L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076" w:type="dxa"/>
            <w:gridSpan w:val="2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2,5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1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4,5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, M</w:t>
            </w:r>
            <w:r>
              <w:rPr>
                <w:vertAlign w:val="subscript"/>
              </w:rPr>
              <w:t>2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3</w:t>
            </w:r>
            <w:r>
              <w:t>, N</w:t>
            </w:r>
            <w:r>
              <w:rPr>
                <w:vertAlign w:val="subscript"/>
              </w:rPr>
              <w:t>3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6,0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8,5/23,5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14,0/23,5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6,0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14,0/25,5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035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04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6,0</w:t>
            </w:r>
          </w:p>
        </w:tc>
      </w:tr>
      <w:tr w:rsidR="00222599">
        <w:tc>
          <w:tcPr>
            <w:tcW w:w="1709" w:type="dxa"/>
            <w:vAlign w:val="center"/>
          </w:tcPr>
          <w:p w:rsidR="00222599" w:rsidRDefault="00222599">
            <w:pPr>
              <w:pStyle w:val="ConsPlusNormal"/>
            </w:pPr>
            <w:r>
              <w:t>Tb, Tm</w:t>
            </w:r>
          </w:p>
        </w:tc>
        <w:tc>
          <w:tcPr>
            <w:tcW w:w="1644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587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4076" w:type="dxa"/>
            <w:gridSpan w:val="2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5,85</w:t>
            </w: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5. Въездные и выездные ворота для производственных помещений или сооружений, в которых размещаются диагностические линии технического осмотра транспортных средств </w:t>
      </w:r>
      <w:r>
        <w:lastRenderedPageBreak/>
        <w:t>различных категорий и (или) видов городского наземного электрического транспорта, должны соответствовать минимальным размерам, приведенным в таблице N 2.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</w:pPr>
      <w:r>
        <w:t>Таблица N 2</w:t>
      </w:r>
    </w:p>
    <w:p w:rsidR="00222599" w:rsidRDefault="00222599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3283"/>
        <w:gridCol w:w="2891"/>
      </w:tblGrid>
      <w:tr w:rsidR="00222599">
        <w:tc>
          <w:tcPr>
            <w:tcW w:w="2851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 xml:space="preserve">Категория транспортных средств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174" w:type="dxa"/>
            <w:gridSpan w:val="2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Минимальные размеры ворот для производственных помещений или сооружений, м</w:t>
            </w:r>
          </w:p>
        </w:tc>
      </w:tr>
      <w:tr w:rsidR="00222599">
        <w:tc>
          <w:tcPr>
            <w:tcW w:w="2851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Высота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L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2,0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1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2,3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3,1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3</w:t>
            </w:r>
            <w:r>
              <w:t>, N</w:t>
            </w:r>
            <w:r>
              <w:rPr>
                <w:vertAlign w:val="subscript"/>
              </w:rPr>
              <w:t>3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4,05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4,05</w:t>
            </w:r>
          </w:p>
        </w:tc>
      </w:tr>
      <w:tr w:rsidR="00222599">
        <w:tc>
          <w:tcPr>
            <w:tcW w:w="2851" w:type="dxa"/>
            <w:vAlign w:val="center"/>
          </w:tcPr>
          <w:p w:rsidR="00222599" w:rsidRDefault="00222599">
            <w:pPr>
              <w:pStyle w:val="ConsPlusNormal"/>
            </w:pPr>
            <w:r>
              <w:t>Tb, Tm</w:t>
            </w:r>
          </w:p>
        </w:tc>
        <w:tc>
          <w:tcPr>
            <w:tcW w:w="32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89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5,0</w:t>
            </w: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6. В производственном помещении или сооружении оборудуются диагностические линии для проверки транспортных средств в соответствии с типовым перечнем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 или его компонентов, утвержденным в соответствии с </w:t>
      </w:r>
      <w:hyperlink r:id="rId28" w:history="1">
        <w:r>
          <w:rPr>
            <w:color w:val="0000FF"/>
          </w:rPr>
          <w:t>пунктом 9 статьи 8</w:t>
        </w:r>
      </w:hyperlink>
      <w:r>
        <w:t xml:space="preserve"> и </w:t>
      </w:r>
      <w:hyperlink r:id="rId29" w:history="1">
        <w:r>
          <w:rPr>
            <w:color w:val="0000FF"/>
          </w:rPr>
          <w:t>частью 4 статьи 11.1</w:t>
        </w:r>
      </w:hyperlink>
      <w:r>
        <w:t xml:space="preserve"> Федерального закона N 170-ФЗ.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7. Платформенные подъемники под колеса должны соответствовать массогабаритным характеристикам транспортных средств, категории которых входят в область аккредитации пункта технического осмотра.</w:t>
      </w:r>
    </w:p>
    <w:p w:rsidR="00222599" w:rsidRDefault="00222599">
      <w:pPr>
        <w:pStyle w:val="ConsPlusNormal"/>
        <w:jc w:val="both"/>
      </w:pPr>
      <w:r>
        <w:t xml:space="preserve">(п. 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8. Осмотровые канавы для диагностических линий технического осмотра транспортных средств различных категорий и (или) видов городского наземного электрического транспорта должны соответствовать минимальным размерам, приведенным в таблице N 3.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</w:pPr>
      <w:r>
        <w:t>Таблица N 3</w:t>
      </w:r>
    </w:p>
    <w:p w:rsidR="00222599" w:rsidRDefault="00222599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4"/>
        <w:gridCol w:w="2683"/>
        <w:gridCol w:w="2268"/>
        <w:gridCol w:w="2381"/>
      </w:tblGrid>
      <w:tr w:rsidR="00222599">
        <w:tc>
          <w:tcPr>
            <w:tcW w:w="171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Категория транспортных средств &lt;3&gt;</w:t>
            </w:r>
          </w:p>
        </w:tc>
        <w:tc>
          <w:tcPr>
            <w:tcW w:w="7332" w:type="dxa"/>
            <w:gridSpan w:val="3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Минимальные размеры осмотровых канав для диагностических линий, м</w:t>
            </w:r>
          </w:p>
        </w:tc>
      </w:tr>
      <w:tr w:rsidR="00222599">
        <w:tc>
          <w:tcPr>
            <w:tcW w:w="171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683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2268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Ширина</w:t>
            </w:r>
          </w:p>
        </w:tc>
        <w:tc>
          <w:tcPr>
            <w:tcW w:w="2381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Глубина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1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1,1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1,1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1,1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1,1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M</w:t>
            </w:r>
            <w:r>
              <w:rPr>
                <w:vertAlign w:val="subscript"/>
              </w:rPr>
              <w:t>3</w:t>
            </w:r>
            <w:r>
              <w:t>, N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1,1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Tm</w:t>
            </w:r>
          </w:p>
        </w:tc>
        <w:tc>
          <w:tcPr>
            <w:tcW w:w="2683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268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2381" w:type="dxa"/>
            <w:vAlign w:val="bottom"/>
          </w:tcPr>
          <w:p w:rsidR="00222599" w:rsidRDefault="00222599">
            <w:pPr>
              <w:pStyle w:val="ConsPlusNormal"/>
              <w:jc w:val="center"/>
            </w:pPr>
            <w:r>
              <w:t>1,3</w:t>
            </w:r>
          </w:p>
        </w:tc>
      </w:tr>
      <w:tr w:rsidR="00222599">
        <w:tc>
          <w:tcPr>
            <w:tcW w:w="1714" w:type="dxa"/>
          </w:tcPr>
          <w:p w:rsidR="00222599" w:rsidRDefault="00222599">
            <w:pPr>
              <w:pStyle w:val="ConsPlusNormal"/>
            </w:pPr>
            <w:r>
              <w:t>Tb</w:t>
            </w:r>
          </w:p>
        </w:tc>
        <w:tc>
          <w:tcPr>
            <w:tcW w:w="2683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68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381" w:type="dxa"/>
            <w:vAlign w:val="center"/>
          </w:tcPr>
          <w:p w:rsidR="00222599" w:rsidRDefault="00222599">
            <w:pPr>
              <w:pStyle w:val="ConsPlusNormal"/>
              <w:jc w:val="center"/>
            </w:pPr>
            <w:r>
              <w:t>1,3</w:t>
            </w: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>В производственном помещении или сооружении должны применяться осмотровые канавы для диагностических линий и (или) платформенные подъемники под колеса. В случае невозможности применения осмотровой канавы или подъемника допускается применение осмотровой эстакады, размеры которой должны соответствовать требованиям, предъявляемым к осмотровым канавам - высота эстакады, длина горизонтального участка эстакады, внутреннее расстояние между поверхностями качения колес транспортного средства должны быть не менее величин, указанных в таблице N 3 соответственно в графах "Глубина", "Длина" и "Ширина" для соответствующих категорий транспортных средств.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Эстакада также должна отвечать следующим требованиям:</w:t>
      </w:r>
    </w:p>
    <w:p w:rsidR="00222599" w:rsidRDefault="0022259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а) несущая способность эстакады должна соответствовать максимальной массе проверяемых транспортных средств с учетом установленного в эстакаду оборудования и возникающих при проведении технического диагностирования транспортных средств дополнительных нагрузок на элементы эстакады;</w:t>
      </w:r>
    </w:p>
    <w:p w:rsidR="00222599" w:rsidRDefault="00222599">
      <w:pPr>
        <w:pStyle w:val="ConsPlusNormal"/>
        <w:jc w:val="both"/>
      </w:pPr>
      <w:r>
        <w:t xml:space="preserve">(пп. "а"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б) длина въездных (съездных) рамп эстакады должна обеспечивать безопасный заезд (съезд) транспортных средств на рампу (с рампы).</w:t>
      </w:r>
    </w:p>
    <w:p w:rsidR="00222599" w:rsidRDefault="00222599">
      <w:pPr>
        <w:pStyle w:val="ConsPlusNormal"/>
        <w:jc w:val="both"/>
      </w:pPr>
      <w:r>
        <w:t xml:space="preserve">(пп. "б"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9. Площадка для проверки тормозных систем транспортных средств в дорожных условиях (при условии применения средства технического диагностирования, указанного в </w:t>
      </w:r>
      <w:hyperlink w:anchor="P267" w:history="1">
        <w:r>
          <w:rPr>
            <w:color w:val="0000FF"/>
          </w:rPr>
          <w:t>подпункте 1.8</w:t>
        </w:r>
      </w:hyperlink>
      <w:r>
        <w:t xml:space="preserve"> приложения к настоящим Требованиям) должна отвечать следующим требованиям: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1) длина площадки должна обеспечивать разгон и торможение запасной тормозной системой всех категорий транспортных средств и (или) видов городского наземного электрического транспорта, на проверку которых аккредитован оператор технического осмотра, а ее ширина должна быть не менее 4,0 м для транспортных средств категорий M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1</w:t>
      </w:r>
      <w:r>
        <w:t xml:space="preserve"> и L и не менее 4,5 м для транспортных средств остальных категорий и видов городского наземного электрического транспорта с необходимым резервом для безопасного выполнения торможений при потере поперечной устойчивости (заносе) транспортного средства. Для проверки в дорожных условиях тормозных систем транспортных средств категорий M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1</w:t>
      </w:r>
      <w:r>
        <w:t xml:space="preserve"> и L длина площадки должна быть не менее 80 м, а для транспортных средств категорий M</w:t>
      </w:r>
      <w:r>
        <w:rPr>
          <w:vertAlign w:val="subscript"/>
        </w:rPr>
        <w:t>2</w:t>
      </w:r>
      <w:r>
        <w:t>, M</w:t>
      </w:r>
      <w:r>
        <w:rPr>
          <w:vertAlign w:val="subscript"/>
        </w:rPr>
        <w:t>3</w:t>
      </w:r>
      <w:r>
        <w:t>, N</w:t>
      </w:r>
      <w:r>
        <w:rPr>
          <w:vertAlign w:val="subscript"/>
        </w:rPr>
        <w:t>2</w:t>
      </w:r>
      <w:r>
        <w:t xml:space="preserve"> и N</w:t>
      </w:r>
      <w:r>
        <w:rPr>
          <w:vertAlign w:val="subscript"/>
        </w:rPr>
        <w:t>3</w:t>
      </w:r>
      <w:r>
        <w:t xml:space="preserve"> и автопоездов - не менее 140 м, троллейбусов - не менее 100 метров, трамваев - не менее 150 метров;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2) продольный уклон площадки не должен превышать 1%;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3) площадка должна иметь цементно- или асфальтобетонное дорожное покрытие;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4) дорожное покрытие площадки должно размечаться продольной осевой линией и параллельными ей линиями, отстоящими от осевой линии влево и вправо на 0,8 м и 1,0 м или 1,2 м в зависимости от колеи проверяемых транспортных средств;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lastRenderedPageBreak/>
        <w:t>5) дорожное покрытие перед въездами и выездами на площадку должно размечаться разделительными линиями для обозначения направления движения.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10. При применении оператором технического осмотра для проверки стояночной тормозной системы транспортных средств метода скатывания с уклона нормативной величины в производственном помещении или вне его должна быть сооружена одна или несколько эстакад с наклонной опорной поверхностью. Наклон эстакады, предназначенной для проверки стояночной тормозной системы транспортных средств, проверяемых с максимально разрешенной массой, должен быть 16% +/- 1%; для транспортных средств категорий M</w:t>
      </w:r>
      <w:r>
        <w:rPr>
          <w:vertAlign w:val="subscript"/>
        </w:rPr>
        <w:t>1</w:t>
      </w:r>
      <w:r>
        <w:t xml:space="preserve"> - M</w:t>
      </w:r>
      <w:r>
        <w:rPr>
          <w:vertAlign w:val="subscript"/>
        </w:rPr>
        <w:t>3</w:t>
      </w:r>
      <w:r>
        <w:t xml:space="preserve"> в снаряженном состоянии - 23% +/- 1%, а категорий N</w:t>
      </w:r>
      <w:r>
        <w:rPr>
          <w:vertAlign w:val="subscript"/>
        </w:rPr>
        <w:t>1</w:t>
      </w:r>
      <w:r>
        <w:t xml:space="preserve"> - N</w:t>
      </w:r>
      <w:r>
        <w:rPr>
          <w:vertAlign w:val="subscript"/>
        </w:rPr>
        <w:t>3</w:t>
      </w:r>
      <w:r>
        <w:t xml:space="preserve"> в снаряженном состоянии - 31% +/- 1%.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  <w:outlineLvl w:val="1"/>
      </w:pPr>
      <w:r>
        <w:t>III. Требования к диагностическим линиям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>11. Диагностическая линия должна быть укомплектована средствами технического диагностирования, необходимыми для проведения в полном объеме технического осмотра определенных категорий транспортных средств или видов городского наземного электрического транспорта в зависимости от массово-габаритных характеристик проверяемых транспортных средств.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Допускается укомплектование отдельных диагностических линий средствами технического диагностирования, необходимыми для проведения в полном объеме технического осмотра части категорий транспортных средств, включенных в область аккредитации пункта технического осмотра в случае применения двух и более диагностических линий.</w:t>
      </w:r>
    </w:p>
    <w:p w:rsidR="00222599" w:rsidRDefault="00222599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Допускается укомплектование в единичном экземпляре средствами технического диагностирования, указанным в </w:t>
      </w:r>
      <w:hyperlink w:anchor="P267" w:history="1">
        <w:r>
          <w:rPr>
            <w:color w:val="0000FF"/>
          </w:rPr>
          <w:t>подпунктах 1.6</w:t>
        </w:r>
      </w:hyperlink>
      <w:r>
        <w:t xml:space="preserve">, </w:t>
      </w:r>
      <w:hyperlink w:anchor="P267" w:history="1">
        <w:r>
          <w:rPr>
            <w:color w:val="0000FF"/>
          </w:rPr>
          <w:t>1.7</w:t>
        </w:r>
      </w:hyperlink>
      <w:r>
        <w:t xml:space="preserve">, </w:t>
      </w:r>
      <w:hyperlink w:anchor="P267" w:history="1">
        <w:r>
          <w:rPr>
            <w:color w:val="0000FF"/>
          </w:rPr>
          <w:t>2.1</w:t>
        </w:r>
      </w:hyperlink>
      <w:r>
        <w:t xml:space="preserve">, </w:t>
      </w:r>
      <w:hyperlink w:anchor="P267" w:history="1">
        <w:r>
          <w:rPr>
            <w:color w:val="0000FF"/>
          </w:rPr>
          <w:t>3.1</w:t>
        </w:r>
      </w:hyperlink>
      <w:r>
        <w:t xml:space="preserve">, </w:t>
      </w:r>
      <w:hyperlink w:anchor="P267" w:history="1">
        <w:r>
          <w:rPr>
            <w:color w:val="0000FF"/>
          </w:rPr>
          <w:t>4.1</w:t>
        </w:r>
      </w:hyperlink>
      <w:r>
        <w:t xml:space="preserve">, </w:t>
      </w:r>
      <w:hyperlink w:anchor="P267" w:history="1">
        <w:r>
          <w:rPr>
            <w:color w:val="0000FF"/>
          </w:rPr>
          <w:t>5.1</w:t>
        </w:r>
      </w:hyperlink>
      <w:r>
        <w:t xml:space="preserve"> - 5.5, </w:t>
      </w:r>
      <w:hyperlink w:anchor="P267" w:history="1">
        <w:r>
          <w:rPr>
            <w:color w:val="0000FF"/>
          </w:rPr>
          <w:t>6.1</w:t>
        </w:r>
      </w:hyperlink>
      <w:r>
        <w:t xml:space="preserve">, </w:t>
      </w:r>
      <w:hyperlink w:anchor="P267" w:history="1">
        <w:r>
          <w:rPr>
            <w:color w:val="0000FF"/>
          </w:rPr>
          <w:t>6.2</w:t>
        </w:r>
      </w:hyperlink>
      <w:r>
        <w:t>, приложения к настоящим Требованиям, диагностических линий (за исключением передвижных диагностических линий), расположенных в одном производственном помещении или сооружении.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Средства технического диагностирования, размещаемые на диагностических линиях, в том числе на передвижных диагностических линиях (далее - средства технического диагностирования), должны обеспечивать проведение технического диагностирования транспортных средств в соответствии с правилами проведения технического осмотра транспортных средств,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 городского наземного электрического транспорта, устанавливаемыми Правительством Российской Федерации в соответствии с </w:t>
      </w:r>
      <w:hyperlink r:id="rId41" w:history="1">
        <w:r>
          <w:rPr>
            <w:color w:val="0000FF"/>
          </w:rPr>
          <w:t>пунктом 2 статьи 7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и настоящими Требованиями. Средства технического диагностирования должны соответствовать требованиям, приведенным в </w:t>
      </w:r>
      <w:hyperlink w:anchor="P267" w:history="1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222599" w:rsidRDefault="0022259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Минтранса России от 05.05.2022 N 166)</w:t>
      </w:r>
    </w:p>
    <w:p w:rsidR="00222599" w:rsidRDefault="00222599">
      <w:pPr>
        <w:pStyle w:val="ConsPlusNormal"/>
        <w:jc w:val="both"/>
      </w:pPr>
      <w:r>
        <w:t xml:space="preserve">(п. 11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Минтранса России от 30.04.2021 N 146)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12. Утратил силу с 1 сентября 2021 года. -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Минтранса России от 30.04.2021 N 146.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13. Для роликовых стендов, изготовленных до 1 января 2008 г., относительная погрешность измерения тормозной силы не должна превышать +/- 7% &lt;4&gt;.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Пункт 5.1.1.9 подраздела 5.1 раздела 5</w:t>
        </w:r>
      </w:hyperlink>
      <w:r>
        <w:t xml:space="preserve"> ГОСТ 33997-2016. Межгосударственный стандарт. Колесные транспортные средства. Требования к безопасности в эксплуатации и методы проверки, </w:t>
      </w:r>
      <w:r>
        <w:lastRenderedPageBreak/>
        <w:t>утвержден приказом Росстандарта от 18 июля 2017 г. N 708-ст, введен в действие 1 февраля 2018 г. (Москва, Стандартинформ, 2017).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>14. Для проверки отработавших газов транспортных средств экологических классов 2, 3, 4 с принудительным зажиганием допускается применение четырехканальных газоанализаторов, обеспечивающих измерение содержания CO, CH и соответствующих по метрологическим характеристикам приборам классов 00; 0; I &lt;5&gt;. Для проверки отработавших газов транспортных средств, не оснащенных системами нейтрализации, допускается применение газоанализаторов, обеспечивающих измерение содержания CO и соответствующие по метрологическим характеристикам приборам классов I; II &lt;5&gt;.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Пункт Г.1.1 раздела Г1</w:t>
        </w:r>
      </w:hyperlink>
      <w:r>
        <w:t xml:space="preserve"> приложения Г к ГОСТ 33997-2016. Межгосударственный стандарт. Колесные транспортные средства. Требования к безопасности в эксплуатации и методы проверки, утвержден приказом Росстандарта от 18 июля 2017 г. N 708-ст, введен в действие 1 февраля 2018 г. (Москва, Стандартинформ, 2017).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15. Утратил силу с 1 сентября 2021 года.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Минтранса России от 30.04.2021 N 146.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16. Средства измерений, используемые для технического диагностирования, должны быть метрологически поверены в соответствии со </w:t>
      </w:r>
      <w:hyperlink r:id="rId48" w:history="1">
        <w:r>
          <w:rPr>
            <w:color w:val="0000FF"/>
          </w:rPr>
          <w:t>статьей 13</w:t>
        </w:r>
      </w:hyperlink>
      <w:r>
        <w:t xml:space="preserve"> Федерального закона от 26 июня 2008 г. N 102-ФЗ "Об обеспечении единства измерений" &lt;6&gt;.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2008, N 26, ст. 3021; 2015, N 29, ст. 4359.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17. Средства фотофиксации транспортного средства, проходящего технический осмотр, должны формировать фотографическое изображение транспортного средства с характеристиками согласно требованиям к фотографическому изображению, утвержденным в соответствии с </w:t>
      </w:r>
      <w:hyperlink r:id="rId49" w:history="1">
        <w:r>
          <w:rPr>
            <w:color w:val="0000FF"/>
          </w:rPr>
          <w:t>пунктом 9 статьи 8</w:t>
        </w:r>
      </w:hyperlink>
      <w:r>
        <w:t xml:space="preserve"> Федерального закона N 170-ФЗ.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  <w:outlineLvl w:val="1"/>
      </w:pPr>
      <w:r>
        <w:t>IV. Требования к передвижным диагностическим линиям</w:t>
      </w:r>
    </w:p>
    <w:p w:rsidR="00222599" w:rsidRDefault="0022259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5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599" w:rsidRDefault="002225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2599" w:rsidRDefault="0022259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</w:tr>
    </w:tbl>
    <w:p w:rsidR="00222599" w:rsidRDefault="00222599">
      <w:pPr>
        <w:pStyle w:val="ConsPlusNormal"/>
        <w:spacing w:before="280"/>
        <w:ind w:firstLine="540"/>
        <w:jc w:val="both"/>
      </w:pPr>
      <w:r>
        <w:t xml:space="preserve">19. Передвижная диагностическая линия должна быть укомплектована средствами технического диагностирования, необходимыми для проверки категорий транспортных средств, включенных в область ее аккредитации, и соответствующими требованиям, приведенным в </w:t>
      </w:r>
      <w:hyperlink w:anchor="P267" w:history="1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222599" w:rsidRDefault="00222599">
      <w:pPr>
        <w:pStyle w:val="ConsPlusNormal"/>
        <w:jc w:val="both"/>
      </w:pPr>
      <w:r>
        <w:t xml:space="preserve">(в ред. Приказов Минтранса России от 30.04.2021 </w:t>
      </w:r>
      <w:hyperlink r:id="rId50" w:history="1">
        <w:r>
          <w:rPr>
            <w:color w:val="0000FF"/>
          </w:rPr>
          <w:t>N 146</w:t>
        </w:r>
      </w:hyperlink>
      <w:r>
        <w:t xml:space="preserve">, от 05.05.2022 </w:t>
      </w:r>
      <w:hyperlink r:id="rId51" w:history="1">
        <w:r>
          <w:rPr>
            <w:color w:val="0000FF"/>
          </w:rPr>
          <w:t>N 166</w:t>
        </w:r>
      </w:hyperlink>
      <w:r>
        <w:t>)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20. Передвижные диагностические линии должны быть оснащены источником энергоснабжения, а также дополнительными средствами для монтажа и демонтажа средств технического диагностирования на месте проведения технического осмотра (в случае если дополнительные средства для монтажа и демонтажа предусмотрены изготовителем средств технического диагностирования в соответствии с эксплуатационной документацией).</w:t>
      </w:r>
    </w:p>
    <w:p w:rsidR="00222599" w:rsidRDefault="00222599">
      <w:pPr>
        <w:pStyle w:val="ConsPlusNormal"/>
        <w:jc w:val="both"/>
      </w:pPr>
      <w:r>
        <w:t xml:space="preserve">(в ред. Приказов Минтранса России от 30.04.2021 </w:t>
      </w:r>
      <w:hyperlink r:id="rId52" w:history="1">
        <w:r>
          <w:rPr>
            <w:color w:val="0000FF"/>
          </w:rPr>
          <w:t>N 146</w:t>
        </w:r>
      </w:hyperlink>
      <w:r>
        <w:t xml:space="preserve">, от 05.05.2022 </w:t>
      </w:r>
      <w:hyperlink r:id="rId53" w:history="1">
        <w:r>
          <w:rPr>
            <w:color w:val="0000FF"/>
          </w:rPr>
          <w:t>N 166</w:t>
        </w:r>
      </w:hyperlink>
      <w:r>
        <w:t>)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  <w:outlineLvl w:val="1"/>
      </w:pPr>
      <w:r>
        <w:t>Приложение</w:t>
      </w:r>
    </w:p>
    <w:p w:rsidR="00222599" w:rsidRDefault="00222599">
      <w:pPr>
        <w:pStyle w:val="ConsPlusNormal"/>
        <w:jc w:val="right"/>
      </w:pPr>
      <w:r>
        <w:t>к Требованиям</w:t>
      </w:r>
    </w:p>
    <w:p w:rsidR="00222599" w:rsidRDefault="00222599">
      <w:pPr>
        <w:pStyle w:val="ConsPlusNormal"/>
        <w:jc w:val="right"/>
      </w:pPr>
      <w:r>
        <w:t>к производственно-технической базе</w:t>
      </w:r>
    </w:p>
    <w:p w:rsidR="00222599" w:rsidRDefault="00222599">
      <w:pPr>
        <w:pStyle w:val="ConsPlusNormal"/>
        <w:jc w:val="right"/>
      </w:pPr>
      <w:r>
        <w:t>оператора технического осмотра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</w:pPr>
      <w:bookmarkStart w:id="5" w:name="P267"/>
      <w:bookmarkEnd w:id="5"/>
      <w:r>
        <w:t>СРЕДСТВА</w:t>
      </w:r>
    </w:p>
    <w:p w:rsidR="00222599" w:rsidRDefault="00222599">
      <w:pPr>
        <w:pStyle w:val="ConsPlusTitle"/>
        <w:jc w:val="center"/>
      </w:pPr>
      <w:r>
        <w:t>ТЕХНИЧЕСКОГО ДИАГНОСТИРОВАНИЯ, РАЗМЕЩАЕМЫЕ</w:t>
      </w:r>
    </w:p>
    <w:p w:rsidR="00222599" w:rsidRDefault="00222599">
      <w:pPr>
        <w:pStyle w:val="ConsPlusTitle"/>
        <w:jc w:val="center"/>
      </w:pPr>
      <w:r>
        <w:t>НА ДИАГНОСТИЧЕСКИХ ЛИНИЯХ, В ТОМ ЧИСЛЕ НА ПЕРЕДВИЖНЫХ</w:t>
      </w:r>
    </w:p>
    <w:p w:rsidR="00222599" w:rsidRDefault="00222599">
      <w:pPr>
        <w:pStyle w:val="ConsPlusTitle"/>
        <w:jc w:val="center"/>
      </w:pPr>
      <w:r>
        <w:t>ДИАГНОСТИЧЕСКИХ ЛИНИЯХ</w:t>
      </w:r>
    </w:p>
    <w:p w:rsidR="00222599" w:rsidRDefault="002225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225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2599" w:rsidRDefault="0022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05.05.2022 N 166)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599" w:rsidRDefault="00222599">
            <w:pPr>
              <w:spacing w:after="1" w:line="0" w:lineRule="atLeast"/>
            </w:pPr>
          </w:p>
        </w:tc>
      </w:tr>
    </w:tbl>
    <w:p w:rsidR="00222599" w:rsidRDefault="00222599">
      <w:pPr>
        <w:pStyle w:val="ConsPlusNormal"/>
        <w:jc w:val="both"/>
      </w:pPr>
    </w:p>
    <w:p w:rsidR="00222599" w:rsidRDefault="00222599">
      <w:pPr>
        <w:sectPr w:rsidR="00222599" w:rsidSect="00222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6"/>
        <w:gridCol w:w="1728"/>
        <w:gridCol w:w="1618"/>
        <w:gridCol w:w="1685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10"/>
        <w:gridCol w:w="2069"/>
      </w:tblGrid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Средства технического диагностирования (вид оборудования)</w:t>
            </w:r>
          </w:p>
        </w:tc>
        <w:tc>
          <w:tcPr>
            <w:tcW w:w="5031" w:type="dxa"/>
            <w:gridSpan w:val="3"/>
          </w:tcPr>
          <w:p w:rsidR="00222599" w:rsidRDefault="00222599">
            <w:pPr>
              <w:pStyle w:val="ConsPlusNormal"/>
              <w:jc w:val="center"/>
            </w:pPr>
            <w:r>
              <w:t>Технические характеристики</w:t>
            </w:r>
          </w:p>
        </w:tc>
        <w:tc>
          <w:tcPr>
            <w:tcW w:w="6690" w:type="dxa"/>
            <w:gridSpan w:val="11"/>
          </w:tcPr>
          <w:p w:rsidR="00222599" w:rsidRDefault="00222599">
            <w:pPr>
              <w:pStyle w:val="ConsPlusNormal"/>
              <w:jc w:val="center"/>
            </w:pPr>
            <w:r>
              <w:t>Обязателен для аккредитации на категорию транспортных средств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  <w:jc w:val="center"/>
            </w:pPr>
            <w:r>
              <w:t>Особенности применения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диапазон измерения или предел измерения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максимальная погрешность средств измерений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Tb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Tm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  <w:gridSpan w:val="11"/>
          </w:tcPr>
          <w:p w:rsidR="00222599" w:rsidRDefault="002225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  <w:jc w:val="center"/>
            </w:pPr>
            <w:r>
              <w:t>7</w:t>
            </w: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t>1. Средства технического диагностирования тормозных систем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Роликовый стенд для проверки тормозных систем транспортных средств с технически допустимой максимальной массой, приходящейся на ось, не менее 13 000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Тормозная сила колеса, кН,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Применяется при аккредитации на категории транспортных средств M</w:t>
            </w:r>
            <w:r>
              <w:rPr>
                <w:vertAlign w:val="subscript"/>
              </w:rPr>
              <w:t>1</w:t>
            </w:r>
            <w:r>
              <w:t>, M</w:t>
            </w:r>
            <w:r>
              <w:rPr>
                <w:vertAlign w:val="subscript"/>
              </w:rPr>
              <w:t>2</w:t>
            </w:r>
            <w:r>
              <w:t>, M</w:t>
            </w:r>
            <w:r>
              <w:rPr>
                <w:vertAlign w:val="subscript"/>
              </w:rPr>
              <w:t>3</w:t>
            </w:r>
            <w:r>
              <w:t>, N</w:t>
            </w:r>
            <w:r>
              <w:rPr>
                <w:vertAlign w:val="subscript"/>
              </w:rPr>
              <w:t>1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  <w:r>
              <w:t>, Tb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на органе управления, 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+/- 7%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Технически допустимая максимальная масса транспортного средства, приходящаяся на ось, кг,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13 000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 xml:space="preserve">Роликовый стенд для проверки тормозных систем транспортных </w:t>
            </w:r>
            <w:r>
              <w:lastRenderedPageBreak/>
              <w:t>средств с технически допустимой максимальной массой, приходящейся на ось, не менее 10 000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lastRenderedPageBreak/>
              <w:t>Тормозная сила колеса, кН,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 xml:space="preserve">Применяется альтернативно стенду по подпункту </w:t>
            </w:r>
            <w:r>
              <w:lastRenderedPageBreak/>
              <w:t>1.1 настоящего перечня при аккредитации на категории транспортных средств M</w:t>
            </w:r>
            <w:r>
              <w:rPr>
                <w:vertAlign w:val="subscript"/>
              </w:rPr>
              <w:t>1</w:t>
            </w:r>
            <w:r>
              <w:t>, M</w:t>
            </w:r>
            <w:r>
              <w:rPr>
                <w:vertAlign w:val="subscript"/>
              </w:rPr>
              <w:t>2</w:t>
            </w:r>
            <w:r>
              <w:t>, M</w:t>
            </w:r>
            <w:r>
              <w:rPr>
                <w:vertAlign w:val="subscript"/>
              </w:rPr>
              <w:t>3</w:t>
            </w:r>
            <w:r>
              <w:t>, N</w:t>
            </w:r>
            <w:r>
              <w:rPr>
                <w:vertAlign w:val="subscript"/>
              </w:rPr>
              <w:t>1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3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на органе управления, 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+/- 7%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Технически допустимая максимальная масса транспортного средства, приходящаяся на ось, кг,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Роликовый стенд для проверки тормозных систем транспортных средств с технически допустимой максимальной массой, приходящейся на ось, не менее 8 000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Тормозная сила колеса, кН,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Применяется альтернативно стенду по подпункту 1.1 настоящего перечня при аккредитации на категории транспортных средств M</w:t>
            </w:r>
            <w:r>
              <w:rPr>
                <w:vertAlign w:val="subscript"/>
              </w:rPr>
              <w:t>1</w:t>
            </w:r>
            <w:r>
              <w:t>, M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1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2</w:t>
            </w:r>
            <w:r>
              <w:t>, O</w:t>
            </w:r>
            <w:r>
              <w:rPr>
                <w:vertAlign w:val="subscript"/>
              </w:rPr>
              <w:t>3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на органе управления, 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+/- 7%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Технически допустимая максимальная масса транспортного средства, приходящаяся на ось, кг,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 xml:space="preserve">Роликовый стенд для </w:t>
            </w:r>
            <w:r>
              <w:lastRenderedPageBreak/>
              <w:t>проверки тормозных систем транспортных средств с технически допустимой максимальной массой, приходящейся на ось, не менее 6 000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lastRenderedPageBreak/>
              <w:t xml:space="preserve">Тормозная сила </w:t>
            </w:r>
            <w:r>
              <w:lastRenderedPageBreak/>
              <w:t>колеса, кН,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 xml:space="preserve">Применяется </w:t>
            </w:r>
            <w:r>
              <w:lastRenderedPageBreak/>
              <w:t>альтернативно стенду по подпункту 1.1 настоящего перечня при аккредитации на категории транспортных средств M</w:t>
            </w:r>
            <w:r>
              <w:rPr>
                <w:vertAlign w:val="subscript"/>
              </w:rPr>
              <w:t>1</w:t>
            </w:r>
            <w:r>
              <w:t>, M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на органе управления, 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+/- 7%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Технически допустимая максимальная масса транспортного средства, приходящаяся на ось, кг,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Роликовый стенд для проверки тормозных систем транспортных средств с технически допустимой максимальной массой, приходящейся на ось, не менее 2 500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Тормозная сила колеса, кН,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Применяется альтернативно стенду по подпункту 1.1 настоящего перечня при аккредитации на категории транспортных средств L, M</w:t>
            </w:r>
            <w:r>
              <w:rPr>
                <w:vertAlign w:val="subscript"/>
              </w:rPr>
              <w:t>1</w:t>
            </w:r>
            <w:r>
              <w:t>, N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на органе управления, Н,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+/- 7%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 xml:space="preserve">Технически допустимая максимальная масса транспортного средства, приходящаяся на ось, кг, не </w:t>
            </w:r>
            <w:r>
              <w:lastRenderedPageBreak/>
              <w:t>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2 500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Средства контроля давления сжатого воздуха в пневматическом и пневмогидравлическом тормозных приводах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Давление сжатого воздуха, МПа,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Должны применяться, если роликовые стенды для проверки тормозных систем транспортных средств не оснащены средством контроля давления сжатого воздуха и герметичности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Нагружатель сцепного устройства прицепов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Усилие вталкивания сцепного устройства, Н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50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Рисунок 1" descr="base_1_418429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18429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3700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Применяется для транспортных средств категорий O</w:t>
            </w:r>
            <w:r>
              <w:rPr>
                <w:vertAlign w:val="subscript"/>
              </w:rPr>
              <w:t>2</w:t>
            </w:r>
            <w:r>
              <w:t>, оборудованных инерционной тормозной системой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Прибор для проверки эффективности тормозных систем транспортного средства в дорожных условиях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Установившееся замедление, 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Рисунок 2" descr="base_1_41842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41842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9,81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+/- 4%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Для категории Tb может применяться альтернативно стенду по подпункту 1.1 настоящего перечня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Время срабатывания тормозной системы, с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3" name="Рисунок 3" descr="base_1_41842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41842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+/- 0,1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 xml:space="preserve">Усилие на органе управления, Н, </w:t>
            </w:r>
            <w:r>
              <w:lastRenderedPageBreak/>
              <w:t>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Динамометр механический или электронный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Тормозная сила, кН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4" name="Рисунок 4" descr="base_1_41842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41842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+/- 1% от верхнего предела измерений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t>2. Средства технического диагностирования рулевого управления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Прибор для измерения суммарного люфта в рулевом управлении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Угол суммарного люфта рулевого управления (по ободу рулевого колеса), градус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5" name="Рисунок 5" descr="base_1_41842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41842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+/- 0,5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Люфт-детектор для проверки люфтов в деталях рулевого управления и подвески транспортного средства с технически допустимой максимальной массой, приходящейся на ось, не менее 2 500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161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1685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Может применяться альтернативно люфт-детектору по подпункту 2.3 настоящего перечня при аккредитации на категории транспортных средств M</w:t>
            </w:r>
            <w:r>
              <w:rPr>
                <w:vertAlign w:val="subscript"/>
              </w:rPr>
              <w:t>1</w:t>
            </w:r>
            <w:r>
              <w:t xml:space="preserve"> и N</w:t>
            </w:r>
            <w:r>
              <w:rPr>
                <w:vertAlign w:val="subscript"/>
              </w:rPr>
              <w:t>1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 xml:space="preserve">Люфт-детектор для проверки люфтов в деталях рулевого управления и </w:t>
            </w:r>
            <w:r>
              <w:lastRenderedPageBreak/>
              <w:t>подвески транспортного средства с технически допустимой максимальной массой, приходящейся на ось, не менее 13 000 кг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161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1685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t>3. Средства технического диагностирования внешних световых приборов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Прибор для проверки света фар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Угол наклона светотеневой границы светового пучка в вертикальной плоскости, не менее, % (угловые минуты)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0,1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6" name="Рисунок 6" descr="base_1_41842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41842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3,85</w:t>
            </w:r>
          </w:p>
          <w:p w:rsidR="00222599" w:rsidRDefault="00222599">
            <w:pPr>
              <w:pStyle w:val="ConsPlusNormal"/>
              <w:jc w:val="center"/>
            </w:pPr>
            <w:r>
              <w:t xml:space="preserve">(5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7" name="Рисунок 7" descr="base_1_41842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41842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130)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+/- 0,5</w:t>
            </w:r>
          </w:p>
          <w:p w:rsidR="00222599" w:rsidRDefault="00222599">
            <w:pPr>
              <w:pStyle w:val="ConsPlusNormal"/>
              <w:jc w:val="center"/>
            </w:pPr>
            <w:r>
              <w:t>(+/- 17)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Сила света фар, кд,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200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8" name="Рисунок 8" descr="base_1_41842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41842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+/- 15%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t>4. Средства технического диагностирования шин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Штангенциркуль (с линейкой для измерения глубин)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Измерение линейных размеров, мм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9" name="Рисунок 9" descr="base_1_41842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41842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+/- 0,1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Альтернативно штангенциркулю может использоваться специальный шаблон</w:t>
            </w: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lastRenderedPageBreak/>
              <w:t>5. Средства технического диагностирования двигателя и его систем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Прибор для определения содержания загрязняющих веществ в отработавших газах транспортных средств с двигателями с искровым зажиганием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Содержание оксида углерода (CO), %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0" name="Рисунок 10" descr="base_1_41842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41842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Не распространяется на дилеров, осуществляющих технический осмотр марок транспортных средств, имеющих в модельном ряду только транспортные средства с двигателями с воспламенением от сжатия и (или) электрическими двигателями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Содержание диоксида углерода (CO</w:t>
            </w:r>
            <w:r>
              <w:rPr>
                <w:vertAlign w:val="subscript"/>
              </w:rPr>
              <w:t>2</w:t>
            </w:r>
            <w:r>
              <w:t>), %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1" name="Рисунок 11" descr="base_1_41842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41842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16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Должен соответствовать по метрологическим характеристикам приборам класса точности 00; 0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Содержание кислорода (O</w:t>
            </w:r>
            <w:r>
              <w:rPr>
                <w:vertAlign w:val="subscript"/>
              </w:rPr>
              <w:t>2</w:t>
            </w:r>
            <w:r>
              <w:t>), %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2" name="Рисунок 12" descr="base_1_41842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41842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21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Содержание углеводородов (C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m</w:t>
            </w:r>
            <w:r>
              <w:t>), млн.</w:t>
            </w:r>
            <w:r>
              <w:rPr>
                <w:vertAlign w:val="superscript"/>
              </w:rPr>
              <w:t>-1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3" name="Рисунок 13" descr="base_1_418429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418429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 xml:space="preserve">Частота вращения </w:t>
            </w:r>
            <w:r>
              <w:lastRenderedPageBreak/>
              <w:t>коленчатого вала, мин.</w:t>
            </w:r>
            <w:r>
              <w:rPr>
                <w:vertAlign w:val="superscript"/>
              </w:rPr>
              <w:t>-1</w:t>
            </w:r>
            <w:r>
              <w:t>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4000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10" w:type="dxa"/>
          </w:tcPr>
          <w:p w:rsidR="00222599" w:rsidRDefault="00222599">
            <w:pPr>
              <w:pStyle w:val="ConsPlusNormal"/>
            </w:pP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 xml:space="preserve">При наличии канала измерения частоты </w:t>
            </w:r>
            <w:r>
              <w:lastRenderedPageBreak/>
              <w:t>вращения коленчатого вала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Температура масла, °C,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08" w:type="dxa"/>
          </w:tcPr>
          <w:p w:rsidR="00222599" w:rsidRDefault="00222599">
            <w:pPr>
              <w:pStyle w:val="ConsPlusNormal"/>
            </w:pPr>
          </w:p>
        </w:tc>
        <w:tc>
          <w:tcPr>
            <w:tcW w:w="610" w:type="dxa"/>
          </w:tcPr>
          <w:p w:rsidR="00222599" w:rsidRDefault="00222599">
            <w:pPr>
              <w:pStyle w:val="ConsPlusNormal"/>
            </w:pP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При наличии канала измерения температуры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Прибор для определения дымности в отработавших газах транспортных средств с двигателями с воспламенением от сжатия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Коэффициент поглощения света, м</w:t>
            </w:r>
            <w:r>
              <w:rPr>
                <w:vertAlign w:val="superscript"/>
              </w:rPr>
              <w:t>-1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0 - </w:t>
            </w:r>
            <w:r w:rsidR="00D61E0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14" name="Рисунок 14" descr="base_1_418429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418429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(0 - 10, при k &gt; 10 k = </w:t>
            </w:r>
            <w:r w:rsidR="00D61E0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15" name="Рисунок 15" descr="base_1_41842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41842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+/- 0,05 при k = 1,6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6" name="Рисунок 16" descr="base_1_41842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41842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1,8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Не распространяется на дилеров, осуществляющих технический осмотр марок транспортных средств, имеющих в модельном ряду только транспортные средства с двигателями с искровым зажиганием и (или) электрическими двигателями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Частота вращения коленчатого вала, мин.</w:t>
            </w:r>
            <w:r>
              <w:rPr>
                <w:vertAlign w:val="superscript"/>
              </w:rPr>
              <w:t>-1</w:t>
            </w:r>
            <w:r>
              <w:t xml:space="preserve">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При наличии канала измерения частоты вращения коленчатого вала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 xml:space="preserve">Температура масла, °C, не </w:t>
            </w:r>
            <w:r>
              <w:lastRenderedPageBreak/>
              <w:t>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 xml:space="preserve">При наличии канала измерения </w:t>
            </w:r>
            <w:r>
              <w:lastRenderedPageBreak/>
              <w:t>температуры</w:t>
            </w: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Прибор для измерения частоты вращения коленчатого вала двигателя и температуры масла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Частота вращения коленчатого вала, мин.</w:t>
            </w:r>
            <w:r>
              <w:rPr>
                <w:vertAlign w:val="superscript"/>
              </w:rPr>
              <w:t>-1</w:t>
            </w:r>
            <w:r>
              <w:t>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  <w:r>
              <w:t>Если не входит в состав приборов по подпунктам 5.1, 5.2 и 5.4 настоящего перечня</w:t>
            </w: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Температура масла, °C,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+/- 2,5%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Универсальный измеритель содержания загрязняющих веществ и дымности в отработавших газах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Параметры в соответствии с пунктами 5.1, 5.2 и 5.3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В соответствии с пунктами 5.1, 5.2 и 5.3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В соответствии с пунктами 5.1, 5.2 и 5.3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  <w:r>
              <w:t>Применяется альтернативно прибору по подпунктам 5.1 и 5.2 настоящего перечня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Течеискатель для проверки герметичности газовой системы питания двигателей транспортных средств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Содержание пропана, метана в воздухе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16560" w:type="dxa"/>
            <w:gridSpan w:val="17"/>
          </w:tcPr>
          <w:p w:rsidR="00222599" w:rsidRDefault="00222599">
            <w:pPr>
              <w:pStyle w:val="ConsPlusNormal"/>
              <w:jc w:val="center"/>
              <w:outlineLvl w:val="2"/>
            </w:pPr>
            <w:r>
              <w:t>6. Средства технического диагностирования прочих элементов конструкции</w:t>
            </w: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Прибор для проверки светопропускания стекол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Светопропускание, %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10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7" name="Рисунок 17" descr="base_1_41842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41842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+/- 2%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Линейка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 xml:space="preserve">Линейные </w:t>
            </w:r>
            <w:r>
              <w:lastRenderedPageBreak/>
              <w:t>размеры, 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lastRenderedPageBreak/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8" name="Рисунок 18" descr="base_1_41842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41842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1,0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+/- 0,5 мм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Прибор для измерения тока утечки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Ток утечки, мА, не менее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+/- 5% от верхнего предела измерений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Ребордомер (шаблон)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Высота и толщина реборды бандажа колеса, мм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высота</w:t>
            </w:r>
          </w:p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9" name="Рисунок 19" descr="base_1_41842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41842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12,</w:t>
            </w:r>
          </w:p>
          <w:p w:rsidR="00222599" w:rsidRDefault="00222599">
            <w:pPr>
              <w:pStyle w:val="ConsPlusNormal"/>
              <w:jc w:val="center"/>
            </w:pPr>
            <w:r>
              <w:t>толщина</w:t>
            </w:r>
          </w:p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0" name="Рисунок 20" descr="base_1_41842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41842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+/- 0,5 мм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Линейка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Расстояние между внутренними гранями бандажей, мм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1" name="Рисунок 21" descr="base_1_41842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41842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1 500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+/- 0,5 мм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</w:tcPr>
          <w:p w:rsidR="00222599" w:rsidRDefault="0022259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2146" w:type="dxa"/>
          </w:tcPr>
          <w:p w:rsidR="00222599" w:rsidRDefault="00222599">
            <w:pPr>
              <w:pStyle w:val="ConsPlusNormal"/>
            </w:pPr>
            <w:r>
              <w:t>Глубиномер микрометрический</w:t>
            </w:r>
          </w:p>
        </w:tc>
        <w:tc>
          <w:tcPr>
            <w:tcW w:w="1728" w:type="dxa"/>
          </w:tcPr>
          <w:p w:rsidR="00222599" w:rsidRDefault="00222599">
            <w:pPr>
              <w:pStyle w:val="ConsPlusNormal"/>
            </w:pPr>
            <w:r>
              <w:t>Измерение глубины, мм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 xml:space="preserve">0 </w:t>
            </w:r>
            <w:r w:rsidR="00D61E0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2" name="Рисунок 22" descr="base_1_418429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418429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25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+/- 0,004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2146" w:type="dxa"/>
            <w:vMerge w:val="restart"/>
          </w:tcPr>
          <w:p w:rsidR="00222599" w:rsidRDefault="00222599">
            <w:pPr>
              <w:pStyle w:val="ConsPlusNormal"/>
            </w:pPr>
            <w:r>
              <w:t>Нутромер микрометрический</w:t>
            </w:r>
          </w:p>
        </w:tc>
        <w:tc>
          <w:tcPr>
            <w:tcW w:w="1728" w:type="dxa"/>
            <w:vMerge w:val="restart"/>
          </w:tcPr>
          <w:p w:rsidR="00222599" w:rsidRDefault="00222599">
            <w:pPr>
              <w:pStyle w:val="ConsPlusNormal"/>
            </w:pPr>
            <w:r>
              <w:t>Расстояние между внутренними гранями бандажей, мм</w:t>
            </w: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св. 800</w:t>
            </w:r>
          </w:p>
          <w:p w:rsidR="00222599" w:rsidRDefault="00222599">
            <w:pPr>
              <w:pStyle w:val="ConsPlusNormal"/>
              <w:jc w:val="center"/>
            </w:pPr>
            <w:r>
              <w:t>до 1250</w:t>
            </w:r>
          </w:p>
          <w:p w:rsidR="00222599" w:rsidRDefault="00222599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+/- 25, мкм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08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10" w:type="dxa"/>
            <w:vMerge w:val="restart"/>
          </w:tcPr>
          <w:p w:rsidR="00222599" w:rsidRDefault="0022259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069" w:type="dxa"/>
            <w:vMerge w:val="restart"/>
          </w:tcPr>
          <w:p w:rsidR="00222599" w:rsidRDefault="00222599">
            <w:pPr>
              <w:pStyle w:val="ConsPlusNormal"/>
            </w:pPr>
          </w:p>
        </w:tc>
      </w:tr>
      <w:tr w:rsidR="00222599">
        <w:tc>
          <w:tcPr>
            <w:tcW w:w="624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146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72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1618" w:type="dxa"/>
          </w:tcPr>
          <w:p w:rsidR="00222599" w:rsidRDefault="00222599">
            <w:pPr>
              <w:pStyle w:val="ConsPlusNormal"/>
              <w:jc w:val="center"/>
            </w:pPr>
            <w:r>
              <w:t>св. 1 250</w:t>
            </w:r>
          </w:p>
          <w:p w:rsidR="00222599" w:rsidRDefault="00222599">
            <w:pPr>
              <w:pStyle w:val="ConsPlusNormal"/>
              <w:jc w:val="center"/>
            </w:pPr>
            <w:r>
              <w:t>до 1 600</w:t>
            </w:r>
          </w:p>
          <w:p w:rsidR="00222599" w:rsidRDefault="00222599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685" w:type="dxa"/>
          </w:tcPr>
          <w:p w:rsidR="00222599" w:rsidRDefault="00222599">
            <w:pPr>
              <w:pStyle w:val="ConsPlusNormal"/>
              <w:jc w:val="center"/>
            </w:pPr>
            <w:r>
              <w:t>+/- 30, мкм</w:t>
            </w: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08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610" w:type="dxa"/>
            <w:vMerge/>
          </w:tcPr>
          <w:p w:rsidR="00222599" w:rsidRDefault="00222599">
            <w:pPr>
              <w:spacing w:after="1" w:line="0" w:lineRule="atLeast"/>
            </w:pPr>
          </w:p>
        </w:tc>
        <w:tc>
          <w:tcPr>
            <w:tcW w:w="2069" w:type="dxa"/>
            <w:vMerge/>
          </w:tcPr>
          <w:p w:rsidR="00222599" w:rsidRDefault="00222599">
            <w:pPr>
              <w:spacing w:after="1" w:line="0" w:lineRule="atLeast"/>
            </w:pPr>
          </w:p>
        </w:tc>
      </w:tr>
    </w:tbl>
    <w:p w:rsidR="00222599" w:rsidRDefault="00222599">
      <w:pPr>
        <w:sectPr w:rsidR="0022259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right"/>
        <w:outlineLvl w:val="0"/>
      </w:pPr>
      <w:r>
        <w:t>Приложение N 2</w:t>
      </w:r>
    </w:p>
    <w:p w:rsidR="00222599" w:rsidRDefault="00222599">
      <w:pPr>
        <w:pStyle w:val="ConsPlusNormal"/>
        <w:jc w:val="right"/>
      </w:pPr>
      <w:r>
        <w:t>к приказу Минтранса России</w:t>
      </w:r>
    </w:p>
    <w:p w:rsidR="00222599" w:rsidRDefault="00222599">
      <w:pPr>
        <w:pStyle w:val="ConsPlusNormal"/>
        <w:jc w:val="right"/>
      </w:pPr>
      <w:r>
        <w:t>от 9 июля 2020 г. N 232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Title"/>
        <w:jc w:val="center"/>
      </w:pPr>
      <w:bookmarkStart w:id="6" w:name="P859"/>
      <w:bookmarkEnd w:id="6"/>
      <w:r>
        <w:t>ПЕРЕЧЕНЬ</w:t>
      </w:r>
    </w:p>
    <w:p w:rsidR="00222599" w:rsidRDefault="00222599">
      <w:pPr>
        <w:pStyle w:val="ConsPlusTitle"/>
        <w:jc w:val="center"/>
      </w:pPr>
      <w:r>
        <w:t>ДОКУМЕНТОВ В ОБЛАСТИ СТАНДАРТИЗАЦИИ, СОБЛЮДЕНИЕ ТРЕБОВАНИЙ</w:t>
      </w:r>
    </w:p>
    <w:p w:rsidR="00222599" w:rsidRDefault="00222599">
      <w:pPr>
        <w:pStyle w:val="ConsPlusTitle"/>
        <w:jc w:val="center"/>
      </w:pPr>
      <w:r>
        <w:t>КОТОРЫХ ЛИЦАМИ, ПРЕТЕНДУЮЩИМИ НА ПОЛУЧЕНИЕ АТТЕСТАТА</w:t>
      </w:r>
    </w:p>
    <w:p w:rsidR="00222599" w:rsidRDefault="00222599">
      <w:pPr>
        <w:pStyle w:val="ConsPlusTitle"/>
        <w:jc w:val="center"/>
      </w:pPr>
      <w:r>
        <w:t>АККРЕДИТАЦИИ ОПЕРАТОРА ТЕХНИЧЕСКОГО ОСМОТРА, И ОПЕРАТОРАМИ</w:t>
      </w:r>
    </w:p>
    <w:p w:rsidR="00222599" w:rsidRDefault="00222599">
      <w:pPr>
        <w:pStyle w:val="ConsPlusTitle"/>
        <w:jc w:val="center"/>
      </w:pPr>
      <w:r>
        <w:t>ТЕХНИЧЕСКОГО ОСМОТРА ОБЕСПЕЧИВАЕТ ИХ СООТВЕТСТВИЕ</w:t>
      </w:r>
    </w:p>
    <w:p w:rsidR="00222599" w:rsidRDefault="00222599">
      <w:pPr>
        <w:pStyle w:val="ConsPlusTitle"/>
        <w:jc w:val="center"/>
      </w:pPr>
      <w:r>
        <w:t>ТРЕБОВАНИЯМ АККРЕДИТАЦИИ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 xml:space="preserve">1. </w:t>
      </w:r>
      <w:hyperlink r:id="rId57" w:history="1">
        <w:r>
          <w:rPr>
            <w:color w:val="0000FF"/>
          </w:rPr>
          <w:t>ГОСТ 33997-2016</w:t>
        </w:r>
      </w:hyperlink>
      <w:r>
        <w:t xml:space="preserve"> "Межгосударственный стандарт. Колесные транспортные средства. Требования к безопасности в эксплуатации и методы проверки" &lt;1&gt;.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8" w:history="1">
        <w:r>
          <w:rPr>
            <w:color w:val="0000FF"/>
          </w:rPr>
          <w:t>ГОСТ 33997-2016</w:t>
        </w:r>
      </w:hyperlink>
      <w:r>
        <w:t>. Межгосударственный стандарт. Колесные транспортные средства. Требования к безопасности в эксплуатации и методы проверки, утвержден приказом Росстандарта от 18 июля 2017 г. N 708-ст, введен в действие 1 февраля 2018 г. (Москва, Стандартинформ, 2017).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ind w:firstLine="540"/>
        <w:jc w:val="both"/>
      </w:pPr>
      <w:r>
        <w:t>2. ГОСТ 31489-2012 "Межгосударственный стандарт. Оборудование гаражное. Требования безопасности и методы контроля" &lt;2&gt;.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99" w:rsidRDefault="00222599">
      <w:pPr>
        <w:pStyle w:val="ConsPlusNormal"/>
        <w:spacing w:before="220"/>
        <w:ind w:firstLine="540"/>
        <w:jc w:val="both"/>
      </w:pPr>
      <w:r>
        <w:t xml:space="preserve">&lt;2&gt; ГОСТ 31489-2012. Межгосударственный стандарт. Оборудование гаражное. Требования безопасности и методы контроля, утвержден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Росстандарта от 27 ноября 2012 г. N 1261-ст, введен в действие 1 января 2014 г. (Москва, Стандартинформ, 2013).</w:t>
      </w: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jc w:val="both"/>
      </w:pPr>
    </w:p>
    <w:p w:rsidR="00222599" w:rsidRDefault="002225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99" w:rsidRDefault="00222599"/>
    <w:sectPr w:rsidR="00222599" w:rsidSect="0022259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9"/>
    <w:rsid w:val="00112BE1"/>
    <w:rsid w:val="00222599"/>
    <w:rsid w:val="002A6A3A"/>
    <w:rsid w:val="002E458A"/>
    <w:rsid w:val="00D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9FB20FB"/>
  <w15:docId w15:val="{9C286EC8-533E-480A-A894-8A699533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2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2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6B26E2668D7C3E8C316E64BE9DDD1D7F6171223C0A4DE4D99D75A32D03F9D086BC84773C3BF626D49EE7CC4921E02AFFC1DF0B2E7F692I0EBG" TargetMode="External"/><Relationship Id="rId18" Type="http://schemas.openxmlformats.org/officeDocument/2006/relationships/hyperlink" Target="consultantplus://offline/ref=4B76B26E2668D7C3E8C316E64BE9DDD1D7F6171223C0A4DE4D99D75A32D03F9D086BC84773C3BF626A49EE7CC4921E02AFFC1DF0B2E7F692I0EBG" TargetMode="External"/><Relationship Id="rId26" Type="http://schemas.openxmlformats.org/officeDocument/2006/relationships/hyperlink" Target="consultantplus://offline/ref=4B76B26E2668D7C3E8C316E64BE9DDD1D7F6171223C0A4DE4D99D75A32D03F9D086BC84773C3BF616C49EE7CC4921E02AFFC1DF0B2E7F692I0EBG" TargetMode="External"/><Relationship Id="rId39" Type="http://schemas.openxmlformats.org/officeDocument/2006/relationships/hyperlink" Target="consultantplus://offline/ref=4B76B26E2668D7C3E8C316E64BE9DDD1D0FF1A1527C3A4DE4D99D75A32D03F9D086BC84773C3BF666949EE7CC4921E02AFFC1DF0B2E7F692I0EBG" TargetMode="External"/><Relationship Id="rId21" Type="http://schemas.openxmlformats.org/officeDocument/2006/relationships/hyperlink" Target="consultantplus://offline/ref=4B76B26E2668D7C3E8C316E64BE9DDD1D5F81B1321C6A4DE4D99D75A32D03F9D1A6B904B73C4A163685CB82D82ICE5G" TargetMode="External"/><Relationship Id="rId34" Type="http://schemas.openxmlformats.org/officeDocument/2006/relationships/hyperlink" Target="consultantplus://offline/ref=4B76B26E2668D7C3E8C316E64BE9DDD1D7F6171223C0A4DE4D99D75A32D03F9D086BC84773C3BE666E49EE7CC4921E02AFFC1DF0B2E7F692I0EBG" TargetMode="External"/><Relationship Id="rId42" Type="http://schemas.openxmlformats.org/officeDocument/2006/relationships/hyperlink" Target="consultantplus://offline/ref=4B76B26E2668D7C3E8C316E64BE9DDD1D0FF1A1527C3A4DE4D99D75A32D03F9D086BC84773C3BF666949EE7CC4921E02AFFC1DF0B2E7F692I0EBG" TargetMode="External"/><Relationship Id="rId47" Type="http://schemas.openxmlformats.org/officeDocument/2006/relationships/hyperlink" Target="consultantplus://offline/ref=4B76B26E2668D7C3E8C316E64BE9DDD1D7F6171223C0A4DE4D99D75A32D03F9D086BC84773C3BE666649EE7CC4921E02AFFC1DF0B2E7F692I0EBG" TargetMode="External"/><Relationship Id="rId50" Type="http://schemas.openxmlformats.org/officeDocument/2006/relationships/hyperlink" Target="consultantplus://offline/ref=4B76B26E2668D7C3E8C316E64BE9DDD1D7F6171223C0A4DE4D99D75A32D03F9D086BC84773C3BE666749EE7CC4921E02AFFC1DF0B2E7F692I0EBG" TargetMode="External"/><Relationship Id="rId55" Type="http://schemas.openxmlformats.org/officeDocument/2006/relationships/image" Target="media/image1.wmf"/><Relationship Id="rId7" Type="http://schemas.openxmlformats.org/officeDocument/2006/relationships/hyperlink" Target="consultantplus://offline/ref=4B76B26E2668D7C3E8C316E64BE9DDD1D0FE171025C2A4DE4D99D75A32D03F9D086BC8437AC8EB322A17B72D87D91304B6E01DF4IAE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76B26E2668D7C3E8C316E64BE9DDD1D0FE171025C2A4DE4D99D75A32D03F9D086BC84773C3BF6A6B49EE7CC4921E02AFFC1DF0B2E7F692I0EBG" TargetMode="External"/><Relationship Id="rId29" Type="http://schemas.openxmlformats.org/officeDocument/2006/relationships/hyperlink" Target="consultantplus://offline/ref=4B76B26E2668D7C3E8C316E64BE9DDD1D0FE171025C2A4DE4D99D75A32D03F9D086BC84E70C8EB322A17B72D87D91304B6E01DF4IAEEG" TargetMode="External"/><Relationship Id="rId11" Type="http://schemas.openxmlformats.org/officeDocument/2006/relationships/hyperlink" Target="consultantplus://offline/ref=4B76B26E2668D7C3E8C316E64BE9DDD1D7F6171223C0A4DE4D99D75A32D03F9D086BC84773C3BF636949EE7CC4921E02AFFC1DF0B2E7F692I0EBG" TargetMode="External"/><Relationship Id="rId24" Type="http://schemas.openxmlformats.org/officeDocument/2006/relationships/hyperlink" Target="consultantplus://offline/ref=4B76B26E2668D7C3E8C316E64BE9DDD1D7F6171223C0A4DE4D99D75A32D03F9D086BC84773C3BF616E49EE7CC4921E02AFFC1DF0B2E7F692I0EBG" TargetMode="External"/><Relationship Id="rId32" Type="http://schemas.openxmlformats.org/officeDocument/2006/relationships/hyperlink" Target="consultantplus://offline/ref=4B76B26E2668D7C3E8C316E64BE9DDD1D0FF1A1527C3A4DE4D99D75A32D03F9D086BC84773C3BF666A49EE7CC4921E02AFFC1DF0B2E7F692I0EBG" TargetMode="External"/><Relationship Id="rId37" Type="http://schemas.openxmlformats.org/officeDocument/2006/relationships/hyperlink" Target="consultantplus://offline/ref=4B76B26E2668D7C3E8C316E64BE9DDD1D0FF1A1527C3A4DE4D99D75A32D03F9D086BC84773C3BF666949EE7CC4921E02AFFC1DF0B2E7F692I0EBG" TargetMode="External"/><Relationship Id="rId40" Type="http://schemas.openxmlformats.org/officeDocument/2006/relationships/hyperlink" Target="consultantplus://offline/ref=4B76B26E2668D7C3E8C316E64BE9DDD1D7F8101324C1A4DE4D99D75A32D03F9D086BC84773C3BF636749EE7CC4921E02AFFC1DF0B2E7F692I0EBG" TargetMode="External"/><Relationship Id="rId45" Type="http://schemas.openxmlformats.org/officeDocument/2006/relationships/hyperlink" Target="consultantplus://offline/ref=4B76B26E2668D7C3E8C316E64BE9DDD1D6F7161227C4A4DE4D99D75A32D03F9D086BC84773C2BA6A6849EE7CC4921E02AFFC1DF0B2E7F692I0EBG" TargetMode="External"/><Relationship Id="rId53" Type="http://schemas.openxmlformats.org/officeDocument/2006/relationships/hyperlink" Target="consultantplus://offline/ref=4B76B26E2668D7C3E8C316E64BE9DDD1D0FF1A1527C3A4DE4D99D75A32D03F9D086BC84773C3BF656C49EE7CC4921E02AFFC1DF0B2E7F692I0EBG" TargetMode="External"/><Relationship Id="rId58" Type="http://schemas.openxmlformats.org/officeDocument/2006/relationships/hyperlink" Target="consultantplus://offline/ref=4B76B26E2668D7C3E8C316E64BE9DDD1D6F7161227C4A4DE4D99D75A32D03F9D1A6B904B73C4A163685CB82D82ICE5G" TargetMode="External"/><Relationship Id="rId5" Type="http://schemas.openxmlformats.org/officeDocument/2006/relationships/hyperlink" Target="consultantplus://offline/ref=4B76B26E2668D7C3E8C316E64BE9DDD1D0FF1A1527C3A4DE4D99D75A32D03F9D086BC84773C3BF636849EE7CC4921E02AFFC1DF0B2E7F692I0EBG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4B76B26E2668D7C3E8C316E64BE9DDD1D0FF1A1527C3A4DE4D99D75A32D03F9D086BC84773C3BF626A49EE7CC4921E02AFFC1DF0B2E7F692I0EBG" TargetMode="External"/><Relationship Id="rId14" Type="http://schemas.openxmlformats.org/officeDocument/2006/relationships/hyperlink" Target="consultantplus://offline/ref=4B76B26E2668D7C3E8C316E64BE9DDD1D0FF1A1527C3A4DE4D99D75A32D03F9D086BC84773C3BF626F49EE7CC4921E02AFFC1DF0B2E7F692I0EBG" TargetMode="External"/><Relationship Id="rId22" Type="http://schemas.openxmlformats.org/officeDocument/2006/relationships/hyperlink" Target="consultantplus://offline/ref=4B76B26E2668D7C3E8C316E64BE9DDD1D7F6171223C0A4DE4D99D75A32D03F9D086BC84773C3BF626949EE7CC4921E02AFFC1DF0B2E7F692I0EBG" TargetMode="External"/><Relationship Id="rId27" Type="http://schemas.openxmlformats.org/officeDocument/2006/relationships/hyperlink" Target="consultantplus://offline/ref=4B76B26E2668D7C3E8C316E64BE9DDD1D7F6171223C0A4DE4D99D75A32D03F9D086BC84773C3BF6B6E49EE7CC4921E02AFFC1DF0B2E7F692I0EBG" TargetMode="External"/><Relationship Id="rId30" Type="http://schemas.openxmlformats.org/officeDocument/2006/relationships/hyperlink" Target="consultantplus://offline/ref=4B76B26E2668D7C3E8C316E64BE9DDD1D0FF1A1527C3A4DE4D99D75A32D03F9D086BC84773C3BF626B49EE7CC4921E02AFFC1DF0B2E7F692I0EBG" TargetMode="External"/><Relationship Id="rId35" Type="http://schemas.openxmlformats.org/officeDocument/2006/relationships/hyperlink" Target="consultantplus://offline/ref=4B76B26E2668D7C3E8C316E64BE9DDD1D7F6171223C0A4DE4D99D75A32D03F9D086BC84773C3BE666F49EE7CC4921E02AFFC1DF0B2E7F692I0EBG" TargetMode="External"/><Relationship Id="rId43" Type="http://schemas.openxmlformats.org/officeDocument/2006/relationships/hyperlink" Target="consultantplus://offline/ref=4B76B26E2668D7C3E8C316E64BE9DDD1D7F6171223C0A4DE4D99D75A32D03F9D086BC84773C3BE666A49EE7CC4921E02AFFC1DF0B2E7F692I0EBG" TargetMode="External"/><Relationship Id="rId48" Type="http://schemas.openxmlformats.org/officeDocument/2006/relationships/hyperlink" Target="consultantplus://offline/ref=4B76B26E2668D7C3E8C316E64BE9DDD1D7F6151120CEA4DE4D99D75A32D03F9D086BC84773C3BE616C49EE7CC4921E02AFFC1DF0B2E7F692I0EBG" TargetMode="External"/><Relationship Id="rId56" Type="http://schemas.openxmlformats.org/officeDocument/2006/relationships/image" Target="media/image2.wmf"/><Relationship Id="rId8" Type="http://schemas.openxmlformats.org/officeDocument/2006/relationships/hyperlink" Target="consultantplus://offline/ref=4B76B26E2668D7C3E8C316E64BE9DDD1D0FF111126C4A4DE4D99D75A32D03F9D086BC84E75C8EB322A17B72D87D91304B6E01DF4IAEEG" TargetMode="External"/><Relationship Id="rId51" Type="http://schemas.openxmlformats.org/officeDocument/2006/relationships/hyperlink" Target="consultantplus://offline/ref=4B76B26E2668D7C3E8C316E64BE9DDD1D0FF1A1527C3A4DE4D99D75A32D03F9D086BC84773C3BF656F49EE7CC4921E02AFFC1DF0B2E7F692I0E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76B26E2668D7C3E8C316E64BE9DDD1D0FF1A1527C3A4DE4D99D75A32D03F9D086BC84773C3BF636849EE7CC4921E02AFFC1DF0B2E7F692I0EBG" TargetMode="External"/><Relationship Id="rId17" Type="http://schemas.openxmlformats.org/officeDocument/2006/relationships/hyperlink" Target="consultantplus://offline/ref=4B76B26E2668D7C3E8C316E64BE9DDD1D0FF151727C6A4DE4D99D75A32D03F9D086BC84773C3BF606B49EE7CC4921E02AFFC1DF0B2E7F692I0EBG" TargetMode="External"/><Relationship Id="rId25" Type="http://schemas.openxmlformats.org/officeDocument/2006/relationships/hyperlink" Target="consultantplus://offline/ref=4B76B26E2668D7C3E8C316E64BE9DDD1D0FF151727C6A4DE4D99D75A32D03F9D086BC84773C3B9636E49EE7CC4921E02AFFC1DF0B2E7F692I0EBG" TargetMode="External"/><Relationship Id="rId33" Type="http://schemas.openxmlformats.org/officeDocument/2006/relationships/hyperlink" Target="consultantplus://offline/ref=4B76B26E2668D7C3E8C316E64BE9DDD1D7F6171223C0A4DE4D99D75A32D03F9D086BC84773C3BE676749EE7CC4921E02AFFC1DF0B2E7F692I0EBG" TargetMode="External"/><Relationship Id="rId38" Type="http://schemas.openxmlformats.org/officeDocument/2006/relationships/hyperlink" Target="consultantplus://offline/ref=4B76B26E2668D7C3E8C316E64BE9DDD1D0FF1A1527C3A4DE4D99D75A32D03F9D086BC84773C3BF666649EE7CC4921E02AFFC1DF0B2E7F692I0EBG" TargetMode="External"/><Relationship Id="rId46" Type="http://schemas.openxmlformats.org/officeDocument/2006/relationships/hyperlink" Target="consultantplus://offline/ref=4B76B26E2668D7C3E8C316E64BE9DDD1D6F7161227C4A4DE4D99D75A32D03F9D086BC84773C1BF606749EE7CC4921E02AFFC1DF0B2E7F692I0EBG" TargetMode="External"/><Relationship Id="rId59" Type="http://schemas.openxmlformats.org/officeDocument/2006/relationships/hyperlink" Target="consultantplus://offline/ref=4B76B26E2668D7C3E8C316E64BE9DDD1D6F8171223C7A4DE4D99D75A32D03F9D086BC84773C3BF636849EE7CC4921E02AFFC1DF0B2E7F692I0EBG" TargetMode="External"/><Relationship Id="rId20" Type="http://schemas.openxmlformats.org/officeDocument/2006/relationships/hyperlink" Target="consultantplus://offline/ref=4B76B26E2668D7C3E8C316E64BE9DDD1D0FF171126C7A4DE4D99D75A32D03F9D1A6B904B73C4A163685CB82D82ICE5G" TargetMode="External"/><Relationship Id="rId41" Type="http://schemas.openxmlformats.org/officeDocument/2006/relationships/hyperlink" Target="consultantplus://offline/ref=4B76B26E2668D7C3E8C316E64BE9DDD1D0FE171025C2A4DE4D99D75A32D03F9D086BC84773C3BF666849EE7CC4921E02AFFC1DF0B2E7F692I0EBG" TargetMode="External"/><Relationship Id="rId54" Type="http://schemas.openxmlformats.org/officeDocument/2006/relationships/hyperlink" Target="consultantplus://offline/ref=4B76B26E2668D7C3E8C316E64BE9DDD1D0FF1A1527C3A4DE4D99D75A32D03F9D086BC84773C3BF656D49EE7CC4921E02AFFC1DF0B2E7F692I0E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76B26E2668D7C3E8C316E64BE9DDD1D0FE171025C2A4DE4D99D75A32D03F9D086BC84276C8EB322A17B72D87D91304B6E01DF4IAEEG" TargetMode="External"/><Relationship Id="rId15" Type="http://schemas.openxmlformats.org/officeDocument/2006/relationships/hyperlink" Target="consultantplus://offline/ref=4B76B26E2668D7C3E8C316E64BE9DDD1D0FF1A1527C3A4DE4D99D75A32D03F9D086BC84773C3BF626D49EE7CC4921E02AFFC1DF0B2E7F692I0EBG" TargetMode="External"/><Relationship Id="rId23" Type="http://schemas.openxmlformats.org/officeDocument/2006/relationships/hyperlink" Target="consultantplus://offline/ref=4B76B26E2668D7C3E8C316E64BE9DDD1D7F6171223C0A4DE4D99D75A32D03F9D086BC84773C3BF626749EE7CC4921E02AFFC1DF0B2E7F692I0EBG" TargetMode="External"/><Relationship Id="rId28" Type="http://schemas.openxmlformats.org/officeDocument/2006/relationships/hyperlink" Target="consultantplus://offline/ref=4B76B26E2668D7C3E8C316E64BE9DDD1D0FE171025C2A4DE4D99D75A32D03F9D086BC84773C3BF646C49EE7CC4921E02AFFC1DF0B2E7F692I0EBG" TargetMode="External"/><Relationship Id="rId36" Type="http://schemas.openxmlformats.org/officeDocument/2006/relationships/hyperlink" Target="consultantplus://offline/ref=4B76B26E2668D7C3E8C316E64BE9DDD1D7F6171223C0A4DE4D99D75A32D03F9D086BC84773C3BE666C49EE7CC4921E02AFFC1DF0B2E7F692I0EBG" TargetMode="External"/><Relationship Id="rId49" Type="http://schemas.openxmlformats.org/officeDocument/2006/relationships/hyperlink" Target="consultantplus://offline/ref=4B76B26E2668D7C3E8C316E64BE9DDD1D0FE171025C2A4DE4D99D75A32D03F9D086BC84773C3BF646C49EE7CC4921E02AFFC1DF0B2E7F692I0EBG" TargetMode="External"/><Relationship Id="rId57" Type="http://schemas.openxmlformats.org/officeDocument/2006/relationships/hyperlink" Target="consultantplus://offline/ref=4B76B26E2668D7C3E8C316E64BE9DDD1D6F7161227C4A4DE4D99D75A32D03F9D1A6B904B73C4A163685CB82D82ICE5G" TargetMode="External"/><Relationship Id="rId10" Type="http://schemas.openxmlformats.org/officeDocument/2006/relationships/hyperlink" Target="consultantplus://offline/ref=4B76B26E2668D7C3E8C316E64BE9DDD1D7F6171223C0A4DE4D99D75A32D03F9D086BC84773C3BF636849EE7CC4921E02AFFC1DF0B2E7F692I0EBG" TargetMode="External"/><Relationship Id="rId31" Type="http://schemas.openxmlformats.org/officeDocument/2006/relationships/hyperlink" Target="consultantplus://offline/ref=4B76B26E2668D7C3E8C316E64BE9DDD1D0FF1A1527C3A4DE4D99D75A32D03F9D086BC84773C3BF626649EE7CC4921E02AFFC1DF0B2E7F692I0EBG" TargetMode="External"/><Relationship Id="rId44" Type="http://schemas.openxmlformats.org/officeDocument/2006/relationships/hyperlink" Target="consultantplus://offline/ref=4B76B26E2668D7C3E8C316E64BE9DDD1D7F6171223C0A4DE4D99D75A32D03F9D086BC84773C3BE666649EE7CC4921E02AFFC1DF0B2E7F692I0EBG" TargetMode="External"/><Relationship Id="rId52" Type="http://schemas.openxmlformats.org/officeDocument/2006/relationships/hyperlink" Target="consultantplus://offline/ref=4B76B26E2668D7C3E8C316E64BE9DDD1D7F6171223C0A4DE4D99D75A32D03F9D086BC84773C3BE656E49EE7CC4921E02AFFC1DF0B2E7F692I0EBG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4B76B26E2668D7C3E8C316E64BE9DDD1D7F6171223C0A4DE4D99D75A32D03F9D086BC84773C3BF636849EE7CC4921E02AFFC1DF0B2E7F692I0EBG" TargetMode="External"/><Relationship Id="rId9" Type="http://schemas.openxmlformats.org/officeDocument/2006/relationships/hyperlink" Target="consultantplus://offline/ref=4B76B26E2668D7C3E8C316E64BE9DDD1D0FF111126C4A4DE4D99D75A32D03F9D086BC84772C4B4373F06EF2080C00D02AEFC1FF6AEI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5608</Words>
  <Characters>31972</Characters>
  <Application>Microsoft Office Word</Application>
  <DocSecurity>4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Шелест Анастасия Леонидовна</cp:lastModifiedBy>
  <cp:revision>2</cp:revision>
  <dcterms:created xsi:type="dcterms:W3CDTF">2022-06-07T08:55:00Z</dcterms:created>
  <dcterms:modified xsi:type="dcterms:W3CDTF">2022-06-07T08:55:00Z</dcterms:modified>
</cp:coreProperties>
</file>